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100"/>
        <w:jc w:val="both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部门</w:t>
      </w:r>
      <w:r>
        <w:rPr>
          <w:rFonts w:hint="default" w:ascii="Times New Roman" w:hAnsi="Times New Roman" w:cs="Times New Roman"/>
          <w:color w:val="000000"/>
          <w:sz w:val="20"/>
          <w:szCs w:val="20"/>
          <w:u w:val="single"/>
        </w:rPr>
        <w:t>（单位）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公开表8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颍上县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委组织部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2023年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国有资本经营预算支出表</w:t>
      </w:r>
    </w:p>
    <w:p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right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单位：万元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780"/>
        <w:gridCol w:w="1260"/>
        <w:gridCol w:w="1260"/>
        <w:gridCol w:w="1620"/>
      </w:tblGrid>
      <w:tr>
        <w:trPr>
          <w:trHeight w:val="405" w:hRule="atLeast"/>
        </w:trPr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功能分类科目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</w:rPr>
              <w:t>223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</w:rPr>
              <w:t>国有资本经营预算支出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22301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解决历史遗留问题及改革成本支出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2230101　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  厂办大集体改革支出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10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注：“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颍上县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委组织部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没有国有资本经营预算拨款收入，也没有国有资本经营预算拨款安排的支出，故本表无数据”。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5AA71BAA"/>
    <w:rsid w:val="16F121BF"/>
    <w:rsid w:val="56A62E11"/>
    <w:rsid w:val="5AA71BAA"/>
    <w:rsid w:val="69A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179</Characters>
  <Lines>0</Lines>
  <Paragraphs>0</Paragraphs>
  <TotalTime>0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2023-05-19T02:20:00Z</dcterms:created>
  <dc:creator>反光镜</dc:creator>
  <cp:lastModifiedBy>反光镜</cp:lastModifiedBy>
  <dcterms:modified xsi:type="dcterms:W3CDTF">2023-05-19T02:20:54Z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B466C9F11F234517ABBA209E36F1D5B4_11</vt:lpwstr>
  </property>
</Properties>
</file>